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322F" w14:textId="77777777" w:rsidR="00A77B3E" w:rsidRDefault="00A377DA">
      <w:pPr>
        <w:jc w:val="center"/>
        <w:rPr>
          <w:b/>
          <w:caps/>
        </w:rPr>
      </w:pPr>
      <w:r>
        <w:rPr>
          <w:b/>
          <w:caps/>
        </w:rPr>
        <w:t>Uchwała Nr XXVII-146/21</w:t>
      </w:r>
      <w:r>
        <w:rPr>
          <w:b/>
          <w:caps/>
        </w:rPr>
        <w:br/>
        <w:t>Rady Miejskiej Nieszawa</w:t>
      </w:r>
    </w:p>
    <w:p w14:paraId="79071787" w14:textId="77777777" w:rsidR="00A77B3E" w:rsidRDefault="00A377DA">
      <w:pPr>
        <w:spacing w:before="280" w:after="280"/>
        <w:jc w:val="center"/>
        <w:rPr>
          <w:b/>
          <w:caps/>
        </w:rPr>
      </w:pPr>
      <w:r>
        <w:t>z dnia 19 maja 2021 r.</w:t>
      </w:r>
    </w:p>
    <w:p w14:paraId="201E89CF" w14:textId="77777777" w:rsidR="00A77B3E" w:rsidRDefault="00A377DA">
      <w:pPr>
        <w:keepNext/>
        <w:spacing w:after="480"/>
        <w:jc w:val="center"/>
      </w:pPr>
      <w:r>
        <w:rPr>
          <w:b/>
        </w:rPr>
        <w:t>w sprawie określenia średniej ceny jednostki paliwa w Gminie Miejskiej Nieszawa w roku szkolnym 2021/2022</w:t>
      </w:r>
    </w:p>
    <w:p w14:paraId="4E99961A" w14:textId="77777777" w:rsidR="00A77B3E" w:rsidRDefault="00A377DA">
      <w:pPr>
        <w:keepLines/>
        <w:spacing w:before="120" w:after="120"/>
        <w:ind w:firstLine="227"/>
      </w:pPr>
      <w:r>
        <w:t>Na podstawie art. 18 ust. 2 pkt 15 ustawy z dnia 8 marca 1990 r. o </w:t>
      </w:r>
      <w:r>
        <w:t>samorządzie gminnym</w:t>
      </w:r>
      <w:r>
        <w:br/>
        <w:t>(t. j. Dz. U. z 2020 r. poz. 713 ze zm.) w związku z art. 39a ust. 3 ustawy z dnia 14 grudnia 2016 r. - Prawo oświatowe (t. j. Dz. U. z 2020 r. poz. 910 ze zm.) Rada Miejska Nieszawa uchwala, co następuje:</w:t>
      </w:r>
    </w:p>
    <w:p w14:paraId="75203D5B" w14:textId="77777777" w:rsidR="00A77B3E" w:rsidRDefault="00A377DA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średnią cenę j</w:t>
      </w:r>
      <w:r>
        <w:t>ednostki paliwa w Gminie Miejskiej Nieszawa w wysokości:</w:t>
      </w:r>
    </w:p>
    <w:p w14:paraId="70DECB0F" w14:textId="77777777" w:rsidR="00A77B3E" w:rsidRDefault="00A377DA">
      <w:pPr>
        <w:spacing w:before="120" w:after="120"/>
        <w:ind w:left="340" w:hanging="227"/>
      </w:pPr>
      <w:r>
        <w:t>1) </w:t>
      </w:r>
      <w:r>
        <w:t>Benzyna Pb 98 — 5,51 zł,</w:t>
      </w:r>
    </w:p>
    <w:p w14:paraId="2E20FA28" w14:textId="77777777" w:rsidR="00A77B3E" w:rsidRDefault="00A377DA">
      <w:pPr>
        <w:spacing w:before="120" w:after="120"/>
        <w:ind w:left="340" w:hanging="227"/>
      </w:pPr>
      <w:r>
        <w:t>2) </w:t>
      </w:r>
      <w:r>
        <w:t>Benzyna Pb 95 — 4,21 zł,</w:t>
      </w:r>
    </w:p>
    <w:p w14:paraId="4229A62D" w14:textId="77777777" w:rsidR="00A77B3E" w:rsidRDefault="00A377DA">
      <w:pPr>
        <w:spacing w:before="120" w:after="120"/>
        <w:ind w:left="340" w:hanging="227"/>
      </w:pPr>
      <w:r>
        <w:t>3) </w:t>
      </w:r>
      <w:r>
        <w:t>Olej napędowy — 5,21 zł,</w:t>
      </w:r>
    </w:p>
    <w:p w14:paraId="52D8D76D" w14:textId="77777777" w:rsidR="00A77B3E" w:rsidRDefault="00A377DA">
      <w:pPr>
        <w:spacing w:before="120" w:after="120"/>
        <w:ind w:left="340" w:hanging="227"/>
      </w:pPr>
      <w:r>
        <w:t>4) </w:t>
      </w:r>
      <w:r>
        <w:t>Autogaz            — 2,53 zł.</w:t>
      </w:r>
    </w:p>
    <w:p w14:paraId="63CD4A96" w14:textId="77777777" w:rsidR="00A77B3E" w:rsidRDefault="00A377D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Nieszawa.</w:t>
      </w:r>
    </w:p>
    <w:p w14:paraId="55B33C1A" w14:textId="77777777" w:rsidR="00A77B3E" w:rsidRDefault="00A377DA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po upływie 14 dni od dnia ogłoszenia w Dzienniku Urzędowym Województwa Kujawsko-Pomorskiego.</w:t>
      </w:r>
    </w:p>
    <w:p w14:paraId="58158297" w14:textId="77777777" w:rsidR="009548CB" w:rsidRDefault="009548CB">
      <w:pPr>
        <w:rPr>
          <w:szCs w:val="20"/>
        </w:rPr>
      </w:pPr>
    </w:p>
    <w:p w14:paraId="4C3FD031" w14:textId="77777777" w:rsidR="009548CB" w:rsidRDefault="00A377D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722D2E0" w14:textId="77777777" w:rsidR="009548CB" w:rsidRDefault="00A377DA">
      <w:pPr>
        <w:spacing w:before="120" w:after="120"/>
        <w:rPr>
          <w:szCs w:val="20"/>
        </w:rPr>
      </w:pPr>
      <w:r>
        <w:rPr>
          <w:szCs w:val="20"/>
        </w:rPr>
        <w:t xml:space="preserve">Nowelizacja ustawy Prawa </w:t>
      </w:r>
      <w:r>
        <w:rPr>
          <w:szCs w:val="20"/>
        </w:rPr>
        <w:t>oświatowego z dnia 14 grudnia 2016 r. (Dz. U. z 2020 r. poz. 910 ze zm.), zawiera zasady określające sposób obliczenia kosztów przejazdu dziecka niepełnosprawnego do szkoły lub przedszkola zwracanych rodzicom lub opiekunom. Dla gmin nowe przepisy oznaczają</w:t>
      </w:r>
      <w:r>
        <w:rPr>
          <w:szCs w:val="20"/>
        </w:rPr>
        <w:t xml:space="preserve"> konieczność przyjęcia nowych uchwał oraz to, że będą musiały indywidualnie wyliczać koszty transportu dla każdego opiekuna dziecka niepełnosprawnego</w:t>
      </w:r>
    </w:p>
    <w:p w14:paraId="1E00A482" w14:textId="77777777" w:rsidR="009548CB" w:rsidRDefault="00A377DA">
      <w:pPr>
        <w:spacing w:before="120" w:after="120"/>
        <w:rPr>
          <w:szCs w:val="20"/>
        </w:rPr>
      </w:pPr>
      <w:r>
        <w:rPr>
          <w:szCs w:val="20"/>
        </w:rPr>
        <w:t>Zgodnie z zapisem art. 39a ust. 3 w/w ustawy, średnią cenę   jednostki   paliwa   w gminie określa na każd</w:t>
      </w:r>
      <w:r>
        <w:rPr>
          <w:szCs w:val="20"/>
        </w:rPr>
        <w:t>y rok szkolny rada gminy w drodze uchwały, uwzględniając ceny jednostki paliwa w gminie.</w:t>
      </w:r>
    </w:p>
    <w:p w14:paraId="19B3CD7F" w14:textId="77777777" w:rsidR="009548CB" w:rsidRDefault="00A377DA">
      <w:pPr>
        <w:spacing w:before="120" w:after="120"/>
        <w:rPr>
          <w:szCs w:val="20"/>
        </w:rPr>
      </w:pPr>
      <w:r>
        <w:rPr>
          <w:szCs w:val="20"/>
        </w:rPr>
        <w:t>Na terenie Gminy Miejskiej Nieszawa nie ma stacji paliwowej. W związku z tym pod uwagę wzięto stację paliw Orlen położoną najbliżej Miasta tj. stację paliwową w Gminie</w:t>
      </w:r>
      <w:r>
        <w:rPr>
          <w:szCs w:val="20"/>
        </w:rPr>
        <w:t xml:space="preserve"> Waganiec, przy drodze krajowe 91, pod  adresem Michalin 22, 87-731 Michalin. Do wyliczenia średniej ceny jednostki paliwa w Gminie Miejskiej Nieszawa na rok szkolny 2021/2022, przyjęto średnie ceny paliw: benzyny, oleju napędowego i autogazu w okresie od </w:t>
      </w:r>
      <w:r>
        <w:rPr>
          <w:szCs w:val="20"/>
        </w:rPr>
        <w:t xml:space="preserve">dnia 12.01.2021r. do dnia 08.04.2021 r. </w:t>
      </w:r>
    </w:p>
    <w:p w14:paraId="21DF3271" w14:textId="77777777" w:rsidR="009548CB" w:rsidRDefault="009548CB">
      <w:pPr>
        <w:spacing w:before="120" w:after="120"/>
        <w:jc w:val="left"/>
        <w:rPr>
          <w:szCs w:val="20"/>
        </w:rPr>
      </w:pPr>
    </w:p>
    <w:tbl>
      <w:tblPr>
        <w:tblW w:w="8647" w:type="dxa"/>
        <w:tblInd w:w="11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669"/>
        <w:gridCol w:w="1902"/>
        <w:gridCol w:w="1248"/>
      </w:tblGrid>
      <w:tr w:rsidR="009548CB" w14:paraId="75383A62" w14:textId="77777777">
        <w:trPr>
          <w:trHeight w:val="394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0A9EE076" w14:textId="77777777" w:rsidR="009548CB" w:rsidRDefault="00A377DA">
            <w:pPr>
              <w:spacing w:line="249" w:lineRule="auto"/>
              <w:jc w:val="center"/>
              <w:rPr>
                <w:szCs w:val="20"/>
              </w:rPr>
            </w:pPr>
            <w:r>
              <w:rPr>
                <w:sz w:val="26"/>
                <w:szCs w:val="20"/>
              </w:rPr>
              <w:t>Data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0C15C651" w14:textId="77777777" w:rsidR="009548CB" w:rsidRDefault="00A377DA">
            <w:pPr>
              <w:spacing w:line="249" w:lineRule="auto"/>
              <w:ind w:right="5"/>
              <w:jc w:val="center"/>
              <w:rPr>
                <w:szCs w:val="20"/>
              </w:rPr>
            </w:pPr>
            <w:r>
              <w:rPr>
                <w:sz w:val="26"/>
                <w:szCs w:val="20"/>
              </w:rPr>
              <w:t>Pb 98 - benzyna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3A65D4C9" w14:textId="77777777" w:rsidR="009548CB" w:rsidRDefault="00A377DA">
            <w:pPr>
              <w:spacing w:line="249" w:lineRule="auto"/>
              <w:ind w:right="10"/>
              <w:jc w:val="center"/>
              <w:rPr>
                <w:szCs w:val="20"/>
              </w:rPr>
            </w:pPr>
            <w:r>
              <w:rPr>
                <w:sz w:val="26"/>
                <w:szCs w:val="20"/>
              </w:rPr>
              <w:t>Pb 95 - benzyna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6FA1082C" w14:textId="77777777" w:rsidR="009548CB" w:rsidRDefault="00A377DA">
            <w:pPr>
              <w:spacing w:line="24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ON - </w:t>
            </w:r>
          </w:p>
          <w:p w14:paraId="0FC36212" w14:textId="77777777" w:rsidR="009548CB" w:rsidRDefault="00A377DA">
            <w:pPr>
              <w:spacing w:line="24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olej napędowy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5595F72C" w14:textId="77777777" w:rsidR="009548CB" w:rsidRDefault="00A377DA">
            <w:pPr>
              <w:spacing w:line="249" w:lineRule="auto"/>
              <w:ind w:right="2"/>
              <w:jc w:val="center"/>
              <w:rPr>
                <w:szCs w:val="20"/>
              </w:rPr>
            </w:pPr>
            <w:r>
              <w:rPr>
                <w:sz w:val="26"/>
                <w:szCs w:val="20"/>
              </w:rPr>
              <w:t>LPG -autogaz</w:t>
            </w:r>
          </w:p>
        </w:tc>
      </w:tr>
      <w:tr w:rsidR="009548CB" w14:paraId="3CA68C2D" w14:textId="77777777">
        <w:trPr>
          <w:trHeight w:val="38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0924B4EB" w14:textId="77777777" w:rsidR="009548CB" w:rsidRDefault="00A377DA">
            <w:pPr>
              <w:spacing w:line="249" w:lineRule="auto"/>
              <w:ind w:left="10"/>
              <w:jc w:val="center"/>
              <w:rPr>
                <w:szCs w:val="20"/>
              </w:rPr>
            </w:pPr>
            <w:r>
              <w:rPr>
                <w:szCs w:val="20"/>
              </w:rPr>
              <w:t>12.01.2021 r.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603D63D3" w14:textId="77777777" w:rsidR="009548CB" w:rsidRDefault="00A377DA">
            <w:pPr>
              <w:spacing w:line="249" w:lineRule="auto"/>
              <w:ind w:left="10"/>
              <w:jc w:val="center"/>
              <w:rPr>
                <w:szCs w:val="20"/>
              </w:rPr>
            </w:pPr>
            <w:r>
              <w:rPr>
                <w:szCs w:val="20"/>
              </w:rPr>
              <w:t>5,25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2E2B884B" w14:textId="77777777" w:rsidR="009548CB" w:rsidRDefault="00A377DA">
            <w:pPr>
              <w:spacing w:line="249" w:lineRule="auto"/>
              <w:ind w:right="10"/>
              <w:jc w:val="center"/>
              <w:rPr>
                <w:szCs w:val="20"/>
              </w:rPr>
            </w:pPr>
            <w:r>
              <w:rPr>
                <w:szCs w:val="20"/>
              </w:rPr>
              <w:t>4,95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57187BA3" w14:textId="77777777" w:rsidR="009548CB" w:rsidRDefault="00A377DA">
            <w:pPr>
              <w:spacing w:line="24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4,93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614C069C" w14:textId="77777777" w:rsidR="009548CB" w:rsidRDefault="00A377DA">
            <w:pPr>
              <w:spacing w:line="249" w:lineRule="auto"/>
              <w:ind w:right="7"/>
              <w:jc w:val="center"/>
              <w:rPr>
                <w:szCs w:val="20"/>
              </w:rPr>
            </w:pPr>
            <w:r>
              <w:rPr>
                <w:szCs w:val="20"/>
              </w:rPr>
              <w:t>2,24</w:t>
            </w:r>
          </w:p>
        </w:tc>
      </w:tr>
      <w:tr w:rsidR="009548CB" w14:paraId="57A4D66E" w14:textId="77777777">
        <w:trPr>
          <w:trHeight w:val="38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5C5C7DB3" w14:textId="77777777" w:rsidR="009548CB" w:rsidRDefault="00A377DA">
            <w:pPr>
              <w:spacing w:line="249" w:lineRule="auto"/>
              <w:ind w:left="10"/>
              <w:jc w:val="center"/>
              <w:rPr>
                <w:szCs w:val="20"/>
              </w:rPr>
            </w:pPr>
            <w:r>
              <w:rPr>
                <w:szCs w:val="20"/>
              </w:rPr>
              <w:t>16.02.2021 r.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634F36AF" w14:textId="77777777" w:rsidR="009548CB" w:rsidRDefault="00A377DA">
            <w:pPr>
              <w:spacing w:line="249" w:lineRule="auto"/>
              <w:ind w:left="10"/>
              <w:jc w:val="center"/>
              <w:rPr>
                <w:szCs w:val="20"/>
              </w:rPr>
            </w:pPr>
            <w:r>
              <w:rPr>
                <w:szCs w:val="20"/>
              </w:rPr>
              <w:t>5,35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70F1BEAC" w14:textId="77777777" w:rsidR="009548CB" w:rsidRDefault="00A377DA">
            <w:pPr>
              <w:spacing w:line="24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5,05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052CCA4B" w14:textId="77777777" w:rsidR="009548CB" w:rsidRDefault="00A377DA">
            <w:pPr>
              <w:spacing w:line="249" w:lineRule="auto"/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t>5,03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225951D3" w14:textId="77777777" w:rsidR="009548CB" w:rsidRDefault="00A377DA">
            <w:pPr>
              <w:spacing w:line="249" w:lineRule="auto"/>
              <w:ind w:right="2"/>
              <w:jc w:val="center"/>
              <w:rPr>
                <w:szCs w:val="20"/>
              </w:rPr>
            </w:pPr>
            <w:r>
              <w:rPr>
                <w:szCs w:val="20"/>
              </w:rPr>
              <w:t>2,54</w:t>
            </w:r>
          </w:p>
        </w:tc>
      </w:tr>
      <w:tr w:rsidR="009548CB" w14:paraId="22D55C66" w14:textId="77777777">
        <w:trPr>
          <w:trHeight w:val="382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69C31E70" w14:textId="77777777" w:rsidR="009548CB" w:rsidRDefault="00A377DA">
            <w:pPr>
              <w:spacing w:line="249" w:lineRule="auto"/>
              <w:ind w:left="19"/>
              <w:jc w:val="center"/>
              <w:rPr>
                <w:szCs w:val="20"/>
              </w:rPr>
            </w:pPr>
            <w:r>
              <w:rPr>
                <w:szCs w:val="20"/>
              </w:rPr>
              <w:t>19.03.2021r.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7D739EC7" w14:textId="77777777" w:rsidR="009548CB" w:rsidRDefault="00A377DA">
            <w:pPr>
              <w:spacing w:line="249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5,69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579F2E4E" w14:textId="77777777" w:rsidR="009548CB" w:rsidRDefault="00A377DA">
            <w:pPr>
              <w:spacing w:line="249" w:lineRule="auto"/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t>5,39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10C0437A" w14:textId="77777777" w:rsidR="009548CB" w:rsidRDefault="00A377DA">
            <w:pPr>
              <w:spacing w:line="249" w:lineRule="auto"/>
              <w:ind w:right="5"/>
              <w:jc w:val="center"/>
              <w:rPr>
                <w:szCs w:val="20"/>
              </w:rPr>
            </w:pPr>
            <w:r>
              <w:rPr>
                <w:szCs w:val="20"/>
              </w:rPr>
              <w:t>5,43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3AE94A54" w14:textId="77777777" w:rsidR="009548CB" w:rsidRDefault="00A377DA">
            <w:pPr>
              <w:spacing w:line="249" w:lineRule="auto"/>
              <w:ind w:right="2"/>
              <w:jc w:val="center"/>
              <w:rPr>
                <w:szCs w:val="20"/>
              </w:rPr>
            </w:pPr>
            <w:r>
              <w:rPr>
                <w:szCs w:val="20"/>
              </w:rPr>
              <w:t>2,69</w:t>
            </w:r>
          </w:p>
        </w:tc>
      </w:tr>
      <w:tr w:rsidR="009548CB" w14:paraId="2301E809" w14:textId="77777777">
        <w:trPr>
          <w:trHeight w:val="379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6E466D66" w14:textId="77777777" w:rsidR="009548CB" w:rsidRDefault="00A377DA">
            <w:pPr>
              <w:spacing w:line="249" w:lineRule="auto"/>
              <w:ind w:left="19"/>
              <w:jc w:val="center"/>
              <w:rPr>
                <w:szCs w:val="20"/>
              </w:rPr>
            </w:pPr>
            <w:r>
              <w:rPr>
                <w:szCs w:val="20"/>
              </w:rPr>
              <w:t>08.04.2021 r.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1EDFD2AD" w14:textId="77777777" w:rsidR="009548CB" w:rsidRDefault="00A377DA">
            <w:pPr>
              <w:spacing w:line="249" w:lineRule="auto"/>
              <w:ind w:left="14"/>
              <w:jc w:val="center"/>
              <w:rPr>
                <w:szCs w:val="20"/>
              </w:rPr>
            </w:pPr>
            <w:r>
              <w:rPr>
                <w:szCs w:val="20"/>
              </w:rPr>
              <w:t>5,74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0BA1EAA0" w14:textId="77777777" w:rsidR="009548CB" w:rsidRDefault="00A377DA">
            <w:pPr>
              <w:spacing w:line="249" w:lineRule="auto"/>
              <w:ind w:left="5"/>
              <w:jc w:val="center"/>
              <w:rPr>
                <w:szCs w:val="20"/>
              </w:rPr>
            </w:pPr>
            <w:r>
              <w:rPr>
                <w:szCs w:val="20"/>
              </w:rPr>
              <w:t>5,46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5DB2C34E" w14:textId="77777777" w:rsidR="009548CB" w:rsidRDefault="00A377DA">
            <w:pPr>
              <w:spacing w:line="249" w:lineRule="auto"/>
              <w:ind w:left="14"/>
              <w:jc w:val="center"/>
              <w:rPr>
                <w:szCs w:val="20"/>
              </w:rPr>
            </w:pPr>
            <w:r>
              <w:rPr>
                <w:szCs w:val="20"/>
              </w:rPr>
              <w:t>5,43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2DFB769B" w14:textId="77777777" w:rsidR="009548CB" w:rsidRDefault="00A377DA">
            <w:pPr>
              <w:spacing w:line="249" w:lineRule="auto"/>
              <w:ind w:left="13"/>
              <w:jc w:val="center"/>
              <w:rPr>
                <w:szCs w:val="20"/>
              </w:rPr>
            </w:pPr>
            <w:r>
              <w:rPr>
                <w:szCs w:val="20"/>
              </w:rPr>
              <w:t>2,66</w:t>
            </w:r>
          </w:p>
        </w:tc>
      </w:tr>
      <w:tr w:rsidR="009548CB" w14:paraId="55C5BE98" w14:textId="77777777">
        <w:trPr>
          <w:trHeight w:val="66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1B2F5EF0" w14:textId="77777777" w:rsidR="009548CB" w:rsidRDefault="00A377DA">
            <w:pPr>
              <w:spacing w:line="249" w:lineRule="auto"/>
              <w:ind w:firstLine="206"/>
              <w:jc w:val="center"/>
              <w:rPr>
                <w:szCs w:val="20"/>
              </w:rPr>
            </w:pPr>
            <w:r>
              <w:rPr>
                <w:sz w:val="26"/>
                <w:szCs w:val="20"/>
              </w:rPr>
              <w:t>średnia cena jednostki paliwa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0359E379" w14:textId="77777777" w:rsidR="009548CB" w:rsidRDefault="009548CB">
            <w:pPr>
              <w:spacing w:line="249" w:lineRule="auto"/>
              <w:ind w:left="10"/>
              <w:jc w:val="center"/>
              <w:rPr>
                <w:szCs w:val="20"/>
              </w:rPr>
            </w:pPr>
          </w:p>
          <w:p w14:paraId="2A785AF8" w14:textId="77777777" w:rsidR="009548CB" w:rsidRDefault="00A377DA">
            <w:pPr>
              <w:spacing w:line="249" w:lineRule="auto"/>
              <w:ind w:left="10"/>
              <w:jc w:val="center"/>
              <w:rPr>
                <w:szCs w:val="20"/>
              </w:rPr>
            </w:pPr>
            <w:r>
              <w:rPr>
                <w:szCs w:val="20"/>
              </w:rPr>
              <w:t>5,51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6646B6E8" w14:textId="77777777" w:rsidR="009548CB" w:rsidRDefault="009548CB">
            <w:pPr>
              <w:spacing w:line="249" w:lineRule="auto"/>
              <w:ind w:left="10"/>
              <w:jc w:val="center"/>
              <w:rPr>
                <w:szCs w:val="20"/>
              </w:rPr>
            </w:pPr>
          </w:p>
          <w:p w14:paraId="41E3C1D1" w14:textId="77777777" w:rsidR="009548CB" w:rsidRDefault="00A377DA">
            <w:pPr>
              <w:spacing w:line="249" w:lineRule="auto"/>
              <w:ind w:left="10"/>
              <w:jc w:val="center"/>
              <w:rPr>
                <w:szCs w:val="20"/>
              </w:rPr>
            </w:pPr>
            <w:r>
              <w:rPr>
                <w:szCs w:val="20"/>
              </w:rPr>
              <w:t>5,21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598F391B" w14:textId="77777777" w:rsidR="009548CB" w:rsidRDefault="009548CB">
            <w:pPr>
              <w:spacing w:line="249" w:lineRule="auto"/>
              <w:ind w:left="14"/>
              <w:jc w:val="center"/>
              <w:rPr>
                <w:szCs w:val="20"/>
              </w:rPr>
            </w:pPr>
          </w:p>
          <w:p w14:paraId="668E93E7" w14:textId="77777777" w:rsidR="009548CB" w:rsidRDefault="00A377DA">
            <w:pPr>
              <w:spacing w:line="249" w:lineRule="auto"/>
              <w:ind w:left="14"/>
              <w:jc w:val="center"/>
              <w:rPr>
                <w:szCs w:val="20"/>
              </w:rPr>
            </w:pPr>
            <w:r>
              <w:rPr>
                <w:szCs w:val="20"/>
              </w:rPr>
              <w:t>5,21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115" w:type="dxa"/>
              <w:bottom w:w="0" w:type="dxa"/>
              <w:right w:w="118" w:type="dxa"/>
            </w:tcMar>
          </w:tcPr>
          <w:p w14:paraId="06CCEF9F" w14:textId="77777777" w:rsidR="009548CB" w:rsidRDefault="009548CB">
            <w:pPr>
              <w:spacing w:line="249" w:lineRule="auto"/>
              <w:ind w:left="3"/>
              <w:jc w:val="center"/>
              <w:rPr>
                <w:szCs w:val="20"/>
              </w:rPr>
            </w:pPr>
          </w:p>
          <w:p w14:paraId="7F114D0C" w14:textId="77777777" w:rsidR="009548CB" w:rsidRDefault="00A377DA">
            <w:pPr>
              <w:spacing w:line="249" w:lineRule="auto"/>
              <w:ind w:left="3"/>
              <w:jc w:val="center"/>
              <w:rPr>
                <w:szCs w:val="20"/>
              </w:rPr>
            </w:pPr>
            <w:r>
              <w:rPr>
                <w:szCs w:val="20"/>
              </w:rPr>
              <w:t>2,53</w:t>
            </w:r>
          </w:p>
        </w:tc>
      </w:tr>
    </w:tbl>
    <w:p w14:paraId="1E2DA32A" w14:textId="77777777" w:rsidR="009548CB" w:rsidRDefault="009548CB">
      <w:pPr>
        <w:spacing w:before="120" w:after="120"/>
        <w:jc w:val="left"/>
        <w:rPr>
          <w:szCs w:val="20"/>
        </w:rPr>
      </w:pPr>
    </w:p>
    <w:sectPr w:rsidR="009548CB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666E" w14:textId="77777777" w:rsidR="00A377DA" w:rsidRDefault="00A377DA">
      <w:r>
        <w:separator/>
      </w:r>
    </w:p>
  </w:endnote>
  <w:endnote w:type="continuationSeparator" w:id="0">
    <w:p w14:paraId="6E2F52A9" w14:textId="77777777" w:rsidR="00A377DA" w:rsidRDefault="00A3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548CB" w14:paraId="3462C8A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B229009" w14:textId="77777777" w:rsidR="009548CB" w:rsidRDefault="00A377DA">
          <w:pPr>
            <w:jc w:val="left"/>
            <w:rPr>
              <w:sz w:val="18"/>
            </w:rPr>
          </w:pPr>
          <w:r>
            <w:rPr>
              <w:sz w:val="18"/>
            </w:rPr>
            <w:t>Id: F5A32E95-67FB-422D-8107-86C0F6E0E903.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FCB2C3" w14:textId="77777777" w:rsidR="009548CB" w:rsidRDefault="00A377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5B7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CB91C44" w14:textId="77777777" w:rsidR="009548CB" w:rsidRDefault="009548C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548CB" w14:paraId="1225F25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E56555" w14:textId="77777777" w:rsidR="009548CB" w:rsidRDefault="00A377DA">
          <w:pPr>
            <w:jc w:val="left"/>
            <w:rPr>
              <w:sz w:val="18"/>
            </w:rPr>
          </w:pPr>
          <w:r>
            <w:rPr>
              <w:sz w:val="18"/>
            </w:rPr>
            <w:t>Id: F5A32E95-67FB-422D-8107-86C0F6E0E903.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36D4613" w14:textId="77777777" w:rsidR="009548CB" w:rsidRDefault="00A377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5B7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4CF9ABF" w14:textId="77777777" w:rsidR="009548CB" w:rsidRDefault="009548C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BDB8" w14:textId="77777777" w:rsidR="00A377DA" w:rsidRDefault="00A377DA">
      <w:r>
        <w:separator/>
      </w:r>
    </w:p>
  </w:footnote>
  <w:footnote w:type="continuationSeparator" w:id="0">
    <w:p w14:paraId="33FF50FA" w14:textId="77777777" w:rsidR="00A377DA" w:rsidRDefault="00A37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548CB"/>
    <w:rsid w:val="00A377DA"/>
    <w:rsid w:val="00A77B3E"/>
    <w:rsid w:val="00BB5B7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405D2"/>
  <w15:docId w15:val="{B172BA35-655F-4599-A9A6-7C78602A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Nieszawa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XXVII-146/21 z dnia 19 maja 2021 r.</dc:title>
  <dc:subject>w sprawie określenia średniej ceny jednostki paliwa w^Gminie Miejskiej Nieszawa w^roku szkolnym 2021/2022</dc:subject>
  <dc:creator>Skarbnik</dc:creator>
  <cp:lastModifiedBy>Urząd Miasta 3</cp:lastModifiedBy>
  <cp:revision>2</cp:revision>
  <dcterms:created xsi:type="dcterms:W3CDTF">2021-05-26T07:42:00Z</dcterms:created>
  <dcterms:modified xsi:type="dcterms:W3CDTF">2021-05-26T07:42:00Z</dcterms:modified>
  <cp:category>Akt prawny</cp:category>
</cp:coreProperties>
</file>